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497E8F" w14:paraId="6625822A" w14:textId="77777777" w:rsidTr="00FB7D01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E54614C" w14:textId="77777777" w:rsidR="00497E8F" w:rsidRDefault="00270E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497E8F" w14:paraId="410FBCBB" w14:textId="77777777" w:rsidTr="00FB7D01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FF722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A32E8" w14:textId="77777777" w:rsidR="00497E8F" w:rsidRDefault="00497E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497E8F" w14:paraId="17495AEE" w14:textId="77777777" w:rsidTr="00FB7D01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8329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9B0D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11BD6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39B48E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AF484F9" w14:textId="77777777" w:rsidTr="00FB7D01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22417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429F7912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F4F53F9" w14:textId="77777777" w:rsidTr="00FB7D01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E31B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599EF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497E8F" w14:paraId="3A18F36C" w14:textId="77777777" w:rsidTr="00FB7D01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52B8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73E376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EA04C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7C70BB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8C9B12F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3F59D0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1B6569C4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1C973895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70625E5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CE36321" w14:textId="77777777" w:rsidTr="00FB7D01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F0482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3B7CBE0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3B93D5DC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1802A4C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19C25B94" w14:textId="77777777" w:rsidTr="00FB7D01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EA155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02A7E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B2434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4B89F4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65171F0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04003D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2E16A50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Ludvigh </w:t>
            </w:r>
            <w:proofErr w:type="spellStart"/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Cintulová</w:t>
            </w:r>
            <w:proofErr w:type="spellEnd"/>
          </w:p>
        </w:tc>
        <w:tc>
          <w:tcPr>
            <w:tcW w:w="160" w:type="dxa"/>
            <w:vAlign w:val="center"/>
          </w:tcPr>
          <w:p w14:paraId="5CB852E8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95CFE59" w14:textId="77777777" w:rsidTr="00FB7D01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D8CCDFF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C75FE4" w14:textId="77777777" w:rsidR="00497E8F" w:rsidRDefault="007E1D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Lucia</w:t>
            </w:r>
          </w:p>
        </w:tc>
        <w:tc>
          <w:tcPr>
            <w:tcW w:w="160" w:type="dxa"/>
            <w:vAlign w:val="center"/>
          </w:tcPr>
          <w:p w14:paraId="24B686C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267FF70" w14:textId="77777777" w:rsidTr="00FB7D01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4F965A72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18B781" w14:textId="77777777" w:rsidR="00497E8F" w:rsidRPr="007E1DDE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Doc. </w:t>
            </w:r>
            <w:r w:rsidR="007E1DDE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., PhD.</w:t>
            </w:r>
            <w:r w:rsidR="007E1DDE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7E1DDE"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mim.pr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of</w:t>
            </w:r>
            <w:proofErr w:type="spellEnd"/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0D44C5E1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75178577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BF3618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48AF85B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hyperlink r:id="rId13" w:history="1">
              <w:r w:rsidR="00AD0A89" w:rsidRPr="00C956B8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https://www.portalvs.sk/regzam/detail/17773</w:t>
              </w:r>
            </w:hyperlink>
          </w:p>
        </w:tc>
        <w:tc>
          <w:tcPr>
            <w:tcW w:w="160" w:type="dxa"/>
            <w:vAlign w:val="center"/>
          </w:tcPr>
          <w:p w14:paraId="4266996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C3ECE37" w14:textId="77777777" w:rsidTr="00FB7D01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26814E7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F6A056" w14:textId="671486D4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I.</w:t>
            </w:r>
            <w:r w:rsidR="00831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II.</w:t>
            </w:r>
            <w:r w:rsid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1DD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stupeň/ </w:t>
            </w:r>
            <w:proofErr w:type="spellStart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I., II.</w:t>
            </w:r>
            <w:r w:rsidR="00F241C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821A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degree</w:t>
            </w:r>
            <w:proofErr w:type="spellEnd"/>
          </w:p>
        </w:tc>
        <w:tc>
          <w:tcPr>
            <w:tcW w:w="160" w:type="dxa"/>
            <w:vAlign w:val="center"/>
          </w:tcPr>
          <w:p w14:paraId="4971C27B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C5948B3" w14:textId="77777777" w:rsidTr="00FB7D01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079CC2E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9ABD07" w14:textId="77777777" w:rsidR="00497E8F" w:rsidRDefault="009D7031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pedagogický</w:t>
            </w:r>
            <w:r w:rsidR="00270EC5">
              <w:rPr>
                <w:sz w:val="16"/>
                <w:szCs w:val="16"/>
              </w:rPr>
              <w:t xml:space="preserve"> výstup / </w:t>
            </w:r>
            <w:proofErr w:type="spellStart"/>
            <w:r>
              <w:rPr>
                <w:sz w:val="16"/>
                <w:szCs w:val="16"/>
              </w:rPr>
              <w:t>p</w:t>
            </w:r>
            <w:r w:rsidR="001F1FF6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>dagogi</w:t>
            </w:r>
            <w:r w:rsidR="0020559A">
              <w:rPr>
                <w:sz w:val="16"/>
                <w:szCs w:val="16"/>
              </w:rPr>
              <w:t>cal</w:t>
            </w:r>
            <w:proofErr w:type="spellEnd"/>
            <w:r w:rsidR="00270EC5">
              <w:rPr>
                <w:sz w:val="16"/>
                <w:szCs w:val="16"/>
              </w:rPr>
              <w:t xml:space="preserve"> </w:t>
            </w:r>
            <w:r w:rsidR="00270EC5">
              <w:rPr>
                <w:rFonts w:cstheme="minorHAnsi"/>
                <w:bCs/>
                <w:sz w:val="16"/>
              </w:rPr>
              <w:t>output</w:t>
            </w:r>
          </w:p>
          <w:p w14:paraId="5A5297D9" w14:textId="77777777" w:rsidR="00497E8F" w:rsidRDefault="00497E8F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985120" w14:textId="77777777" w:rsidR="00497E8F" w:rsidRDefault="00497E8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476D04A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51475A63" w14:textId="77777777" w:rsidTr="00FB7D01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846CB6D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6EA9D" w14:textId="77777777" w:rsidR="00497E8F" w:rsidRPr="004E35D2" w:rsidRDefault="00EA1D8B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202</w:t>
            </w:r>
            <w:r w:rsidR="004E35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160" w:type="dxa"/>
            <w:vAlign w:val="center"/>
          </w:tcPr>
          <w:p w14:paraId="419376F5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2EB9094F" w14:textId="77777777" w:rsidTr="00FB7D01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9636973" w14:textId="77777777" w:rsidR="004E35D2" w:rsidRDefault="00000000" w:rsidP="004E35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E35D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E3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D12051" w14:textId="77777777" w:rsidR="004E35D2" w:rsidRDefault="00B7459C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486272</w:t>
            </w:r>
          </w:p>
        </w:tc>
        <w:tc>
          <w:tcPr>
            <w:tcW w:w="160" w:type="dxa"/>
            <w:vAlign w:val="center"/>
          </w:tcPr>
          <w:p w14:paraId="32D19E77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0784AB77" w14:textId="77777777" w:rsidTr="00FB7D01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BA6D985" w14:textId="77777777" w:rsidR="004E35D2" w:rsidRDefault="00000000" w:rsidP="004E35D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E35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E35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3712D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7459C"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https://app.crepc.sk/?fn=detailBiblioForm&amp;sid=32F785CDFFF3BEF8B4B199D93D</w:t>
            </w:r>
          </w:p>
        </w:tc>
        <w:tc>
          <w:tcPr>
            <w:tcW w:w="160" w:type="dxa"/>
            <w:vAlign w:val="center"/>
          </w:tcPr>
          <w:p w14:paraId="0849851F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509DF" w14:paraId="1C7CC7B3" w14:textId="77777777" w:rsidTr="001B47F2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07B2A65C" w14:textId="77777777" w:rsidR="004509DF" w:rsidRDefault="004509DF" w:rsidP="004509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BA4DEC0" w14:textId="77777777" w:rsidR="004509DF" w:rsidRDefault="00000000" w:rsidP="004509DF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509DF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509DF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0268F5" w14:textId="77777777" w:rsidR="004509DF" w:rsidRDefault="004509DF" w:rsidP="004509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A814690" w14:textId="77777777" w:rsidR="004509DF" w:rsidRDefault="004509DF" w:rsidP="00450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509DF" w14:paraId="43150FA7" w14:textId="77777777" w:rsidTr="001B47F2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05D924" w14:textId="77777777" w:rsidR="004509DF" w:rsidRDefault="004509DF" w:rsidP="004509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D684658" w14:textId="77777777" w:rsidR="004509DF" w:rsidRDefault="004509DF" w:rsidP="004509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5F7902" w14:textId="1ED2156D" w:rsidR="004509DF" w:rsidRPr="00A21CAE" w:rsidRDefault="00A21CAE" w:rsidP="004509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ID: 486272 | Sociálna prevencia a príprava sociálnych pracovníkov v oblasti prevencie [učebnica pre vysoké školy] / </w:t>
            </w:r>
            <w:proofErr w:type="spellStart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Ludvigh</w:t>
            </w:r>
            <w:proofErr w:type="spellEnd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proofErr w:type="spellStart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Cintulová</w:t>
            </w:r>
            <w:proofErr w:type="spellEnd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, Lucia [Autor, 40%] ; </w:t>
            </w:r>
            <w:proofErr w:type="spellStart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Budayová</w:t>
            </w:r>
            <w:proofErr w:type="spellEnd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, Zuzana [Autor, 30%] ; </w:t>
            </w:r>
            <w:proofErr w:type="spellStart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Brédová</w:t>
            </w:r>
            <w:proofErr w:type="spellEnd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, Sabína [Autor, 30%] ; Oláh, Michal [Recenzent] ; </w:t>
            </w:r>
            <w:proofErr w:type="spellStart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Duda</w:t>
            </w:r>
            <w:proofErr w:type="spellEnd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, </w:t>
            </w:r>
            <w:proofErr w:type="spellStart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Malgorzata</w:t>
            </w:r>
            <w:proofErr w:type="spellEnd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 xml:space="preserve"> [Recenzent] ; </w:t>
            </w:r>
            <w:proofErr w:type="spellStart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Bursová</w:t>
            </w:r>
            <w:proofErr w:type="spellEnd"/>
            <w:r w:rsidRPr="00A21CA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  <w:t>, Janka [Recenzent]. – 1. vyd. – Bratislava (Slovensko) : Vysoká škola zdravotníctva a sociálnej práce sv. Alžbety v Bratislave, 2022. – 250 s. – ISBN 978-80-8132-245-7</w:t>
            </w:r>
          </w:p>
        </w:tc>
        <w:tc>
          <w:tcPr>
            <w:tcW w:w="160" w:type="dxa"/>
            <w:vAlign w:val="center"/>
          </w:tcPr>
          <w:p w14:paraId="4DB20FCD" w14:textId="77777777" w:rsidR="004509DF" w:rsidRDefault="004509DF" w:rsidP="004509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0580D607" w14:textId="77777777" w:rsidTr="002F510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064DE4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</w:tcPr>
          <w:p w14:paraId="7EE6DD98" w14:textId="77777777" w:rsidR="004E35D2" w:rsidRPr="0083744F" w:rsidRDefault="004509DF" w:rsidP="004509DF">
            <w:pPr>
              <w:pStyle w:val="Textpoznmkypodi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CA12. Typ výstupu (ak nie je výstup registrovaný v CREPČ alebo CREUČ) / Type of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output (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in CRPA or CRAA)</w:t>
            </w:r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br/>
              <w:t xml:space="preserve">Výber zo 67 možností (pozri Vysvetlivky k položke OCA12) /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Choice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67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options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see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Explanations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4509DF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OCA12).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D01224" w14:textId="77777777" w:rsidR="004E35D2" w:rsidRDefault="009D7031" w:rsidP="004E35D2">
            <w:pPr>
              <w:pStyle w:val="Textpoznmkypodiarou"/>
              <w:rPr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Vysokoškolská učebnica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university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</w:p>
          <w:p w14:paraId="3E54EE15" w14:textId="77777777" w:rsidR="004E35D2" w:rsidRPr="0083744F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5B3E70F9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2D8F7B3" w14:textId="77777777" w:rsidTr="00FB7D01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9F8EA7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307AC8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CE30386" w14:textId="77777777" w:rsidR="00497E8F" w:rsidRPr="00EA1D8B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0B26B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34783974" w14:textId="77777777" w:rsidTr="00FB7D01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350DC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C620906" w14:textId="77777777" w:rsidR="00497E8F" w:rsidRDefault="00270E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0103D2" w14:textId="77777777" w:rsidR="00497E8F" w:rsidRDefault="00270EC5">
            <w:pPr>
              <w:pStyle w:val="PredformtovanHTML"/>
              <w:shd w:val="clear" w:color="auto" w:fill="F8F9FA"/>
              <w:spacing w:line="360" w:lineRule="atLeast"/>
              <w:rPr>
                <w:rFonts w:asciiTheme="minorHAnsi" w:hAnsiTheme="minorHAnsi" w:hint="default"/>
                <w:color w:val="202124"/>
                <w:sz w:val="16"/>
                <w:szCs w:val="16"/>
                <w:lang w:val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autora</w:t>
            </w:r>
            <w:proofErr w:type="spellEnd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Ludivigh</w:t>
            </w:r>
            <w:proofErr w:type="spellEnd"/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 </w:t>
            </w:r>
            <w:proofErr w:type="spellStart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Cintulová</w:t>
            </w:r>
            <w:proofErr w:type="spellEnd"/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3744F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10</w:t>
            </w:r>
            <w:r w:rsidR="00FA1AAB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0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% / 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</w:rPr>
              <w:t>author's contribution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Ludvigh</w:t>
            </w:r>
            <w:proofErr w:type="spellEnd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proofErr w:type="spellStart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Cintulová</w:t>
            </w:r>
            <w:proofErr w:type="spellEnd"/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  <w:r w:rsidR="0083744F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10</w:t>
            </w:r>
            <w:r w:rsidR="00FA1AAB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0</w:t>
            </w:r>
            <w:r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>%</w:t>
            </w:r>
            <w:r w:rsidR="004E35D2">
              <w:rPr>
                <w:rFonts w:asciiTheme="minorHAnsi" w:hAnsiTheme="minorHAnsi" w:hint="default"/>
                <w:color w:val="202124"/>
                <w:sz w:val="16"/>
                <w:szCs w:val="16"/>
                <w:shd w:val="clear" w:color="auto" w:fill="F8F9FA"/>
                <w:lang w:val="sk-SK"/>
              </w:rPr>
              <w:t xml:space="preserve"> </w:t>
            </w:r>
          </w:p>
          <w:p w14:paraId="69FC648E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2AA908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0E7F1D7C" w14:textId="77777777" w:rsidTr="00EA1D8B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40F4E1" w14:textId="77777777" w:rsidR="00497E8F" w:rsidRDefault="00497E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DFF1821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4D9343" w14:textId="77777777" w:rsidR="00B7459C" w:rsidRDefault="00B7459C" w:rsidP="001626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Autorov podiel v spracovávaní: látkové závislosti, praktická časť výskumu, základná terminológia prevencia a jej nové výzvy </w:t>
            </w:r>
          </w:p>
          <w:p w14:paraId="31176A0D" w14:textId="77777777" w:rsidR="001626E5" w:rsidRDefault="00B7459C" w:rsidP="001626E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rozvíja kompetencie budúcich sociálnych pracovníkov pracovať v oblasti prevencia, resocializácie a liečby vybraných sociálno-patologických javov</w:t>
            </w:r>
          </w:p>
          <w:p w14:paraId="6A4C402C" w14:textId="77777777" w:rsidR="00B7459C" w:rsidRPr="00B7459C" w:rsidRDefault="00B7459C" w:rsidP="00B745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processing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: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substance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addictions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part of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basic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terminology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its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new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challenges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</w:p>
          <w:p w14:paraId="0A46D4D2" w14:textId="77777777" w:rsidR="00B7459C" w:rsidRDefault="00B7459C" w:rsidP="00B7459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develops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field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resocialization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treatment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selected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-</w:t>
            </w:r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pathological</w:t>
            </w:r>
            <w:proofErr w:type="spellEnd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7459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phenomena</w:t>
            </w:r>
            <w:proofErr w:type="spellEnd"/>
          </w:p>
        </w:tc>
        <w:tc>
          <w:tcPr>
            <w:tcW w:w="160" w:type="dxa"/>
            <w:vAlign w:val="center"/>
          </w:tcPr>
          <w:p w14:paraId="5A5F20ED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97E8F" w14:paraId="2AAF5E0F" w14:textId="77777777" w:rsidTr="00FB7D01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D9ADB6A" w14:textId="77777777" w:rsidR="00497E8F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270EC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270EC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E04247" w14:textId="77777777" w:rsidR="007766D2" w:rsidRPr="00B7459C" w:rsidRDefault="00B7459C" w:rsidP="00544CA5">
            <w:pPr>
              <w:spacing w:after="0" w:line="240" w:lineRule="auto"/>
              <w:rPr>
                <w:sz w:val="16"/>
                <w:szCs w:val="16"/>
              </w:rPr>
            </w:pPr>
            <w:proofErr w:type="spellStart"/>
            <w:r w:rsidRPr="00B7459C">
              <w:rPr>
                <w:sz w:val="16"/>
                <w:szCs w:val="16"/>
              </w:rPr>
              <w:t>The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university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textbook</w:t>
            </w:r>
            <w:proofErr w:type="spellEnd"/>
            <w:r w:rsidRPr="00B7459C">
              <w:rPr>
                <w:sz w:val="16"/>
                <w:szCs w:val="16"/>
              </w:rPr>
              <w:t xml:space="preserve"> "</w:t>
            </w:r>
            <w:proofErr w:type="spellStart"/>
            <w:r w:rsidRPr="00B7459C">
              <w:rPr>
                <w:sz w:val="16"/>
                <w:szCs w:val="16"/>
              </w:rPr>
              <w:t>Social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prevention</w:t>
            </w:r>
            <w:proofErr w:type="spellEnd"/>
            <w:r w:rsidRPr="00B7459C">
              <w:rPr>
                <w:sz w:val="16"/>
                <w:szCs w:val="16"/>
              </w:rPr>
              <w:t xml:space="preserve"> and </w:t>
            </w:r>
            <w:proofErr w:type="spellStart"/>
            <w:r w:rsidRPr="00B7459C">
              <w:rPr>
                <w:sz w:val="16"/>
                <w:szCs w:val="16"/>
              </w:rPr>
              <w:t>training</w:t>
            </w:r>
            <w:proofErr w:type="spellEnd"/>
            <w:r w:rsidRPr="00B7459C">
              <w:rPr>
                <w:sz w:val="16"/>
                <w:szCs w:val="16"/>
              </w:rPr>
              <w:t xml:space="preserve"> of </w:t>
            </w:r>
            <w:proofErr w:type="spellStart"/>
            <w:r w:rsidRPr="00B7459C">
              <w:rPr>
                <w:sz w:val="16"/>
                <w:szCs w:val="16"/>
              </w:rPr>
              <w:t>social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workers</w:t>
            </w:r>
            <w:proofErr w:type="spellEnd"/>
            <w:r w:rsidRPr="00B7459C">
              <w:rPr>
                <w:sz w:val="16"/>
                <w:szCs w:val="16"/>
              </w:rPr>
              <w:t xml:space="preserve"> in </w:t>
            </w:r>
            <w:proofErr w:type="spellStart"/>
            <w:r w:rsidRPr="00B7459C">
              <w:rPr>
                <w:sz w:val="16"/>
                <w:szCs w:val="16"/>
              </w:rPr>
              <w:t>the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field</w:t>
            </w:r>
            <w:proofErr w:type="spellEnd"/>
            <w:r w:rsidRPr="00B7459C">
              <w:rPr>
                <w:sz w:val="16"/>
                <w:szCs w:val="16"/>
              </w:rPr>
              <w:t xml:space="preserve"> of </w:t>
            </w:r>
            <w:proofErr w:type="spellStart"/>
            <w:r w:rsidRPr="00B7459C">
              <w:rPr>
                <w:sz w:val="16"/>
                <w:szCs w:val="16"/>
              </w:rPr>
              <w:t>prevention</w:t>
            </w:r>
            <w:proofErr w:type="spellEnd"/>
            <w:r w:rsidRPr="00B7459C">
              <w:rPr>
                <w:sz w:val="16"/>
                <w:szCs w:val="16"/>
              </w:rPr>
              <w:t xml:space="preserve">" </w:t>
            </w:r>
            <w:proofErr w:type="spellStart"/>
            <w:r w:rsidRPr="00B7459C">
              <w:rPr>
                <w:sz w:val="16"/>
                <w:szCs w:val="16"/>
              </w:rPr>
              <w:t>was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written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for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future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social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workers</w:t>
            </w:r>
            <w:proofErr w:type="spellEnd"/>
            <w:r w:rsidRPr="00B7459C">
              <w:rPr>
                <w:sz w:val="16"/>
                <w:szCs w:val="16"/>
              </w:rPr>
              <w:t xml:space="preserve">, </w:t>
            </w:r>
            <w:proofErr w:type="spellStart"/>
            <w:r w:rsidRPr="00B7459C">
              <w:rPr>
                <w:sz w:val="16"/>
                <w:szCs w:val="16"/>
              </w:rPr>
              <w:t>but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also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for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workers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from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other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helping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professions</w:t>
            </w:r>
            <w:proofErr w:type="spellEnd"/>
            <w:r w:rsidRPr="00B7459C">
              <w:rPr>
                <w:sz w:val="16"/>
                <w:szCs w:val="16"/>
              </w:rPr>
              <w:t xml:space="preserve">, </w:t>
            </w:r>
            <w:proofErr w:type="spellStart"/>
            <w:r w:rsidRPr="00B7459C">
              <w:rPr>
                <w:sz w:val="16"/>
                <w:szCs w:val="16"/>
              </w:rPr>
              <w:t>who</w:t>
            </w:r>
            <w:proofErr w:type="spellEnd"/>
            <w:r w:rsidRPr="00B7459C">
              <w:rPr>
                <w:sz w:val="16"/>
                <w:szCs w:val="16"/>
              </w:rPr>
              <w:t xml:space="preserve"> in </w:t>
            </w:r>
            <w:proofErr w:type="spellStart"/>
            <w:r w:rsidRPr="00B7459C">
              <w:rPr>
                <w:sz w:val="16"/>
                <w:szCs w:val="16"/>
              </w:rPr>
              <w:t>their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practice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will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normally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encounter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many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socio-pathological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phenomena</w:t>
            </w:r>
            <w:proofErr w:type="spellEnd"/>
            <w:r w:rsidRPr="00B7459C">
              <w:rPr>
                <w:sz w:val="16"/>
                <w:szCs w:val="16"/>
              </w:rPr>
              <w:t xml:space="preserve">, or </w:t>
            </w:r>
            <w:proofErr w:type="spellStart"/>
            <w:r w:rsidRPr="00B7459C">
              <w:rPr>
                <w:sz w:val="16"/>
                <w:szCs w:val="16"/>
              </w:rPr>
              <w:t>they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will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be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able</w:t>
            </w:r>
            <w:proofErr w:type="spellEnd"/>
            <w:r w:rsidRPr="00B7459C">
              <w:rPr>
                <w:sz w:val="16"/>
                <w:szCs w:val="16"/>
              </w:rPr>
              <w:t xml:space="preserve"> to </w:t>
            </w:r>
            <w:proofErr w:type="spellStart"/>
            <w:r w:rsidRPr="00B7459C">
              <w:rPr>
                <w:sz w:val="16"/>
                <w:szCs w:val="16"/>
              </w:rPr>
              <w:t>identify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their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presence</w:t>
            </w:r>
            <w:proofErr w:type="spellEnd"/>
            <w:r w:rsidRPr="00B7459C">
              <w:rPr>
                <w:sz w:val="16"/>
                <w:szCs w:val="16"/>
              </w:rPr>
              <w:t xml:space="preserve"> and </w:t>
            </w:r>
            <w:proofErr w:type="spellStart"/>
            <w:r w:rsidRPr="00B7459C">
              <w:rPr>
                <w:sz w:val="16"/>
                <w:szCs w:val="16"/>
              </w:rPr>
              <w:t>emergence</w:t>
            </w:r>
            <w:proofErr w:type="spellEnd"/>
            <w:r w:rsidRPr="00B7459C">
              <w:rPr>
                <w:sz w:val="16"/>
                <w:szCs w:val="16"/>
              </w:rPr>
              <w:t xml:space="preserve"> and </w:t>
            </w:r>
            <w:proofErr w:type="spellStart"/>
            <w:r w:rsidRPr="00B7459C">
              <w:rPr>
                <w:sz w:val="16"/>
                <w:szCs w:val="16"/>
              </w:rPr>
              <w:t>development</w:t>
            </w:r>
            <w:proofErr w:type="spellEnd"/>
            <w:r w:rsidRPr="00B7459C">
              <w:rPr>
                <w:sz w:val="16"/>
                <w:szCs w:val="16"/>
              </w:rPr>
              <w:t xml:space="preserve"> in a </w:t>
            </w:r>
            <w:proofErr w:type="spellStart"/>
            <w:r w:rsidRPr="00B7459C">
              <w:rPr>
                <w:sz w:val="16"/>
                <w:szCs w:val="16"/>
              </w:rPr>
              <w:t>given</w:t>
            </w:r>
            <w:proofErr w:type="spellEnd"/>
            <w:r w:rsidRPr="00B7459C">
              <w:rPr>
                <w:sz w:val="16"/>
                <w:szCs w:val="16"/>
              </w:rPr>
              <w:t xml:space="preserve"> society, </w:t>
            </w:r>
            <w:proofErr w:type="spellStart"/>
            <w:r w:rsidRPr="00B7459C">
              <w:rPr>
                <w:sz w:val="16"/>
                <w:szCs w:val="16"/>
              </w:rPr>
              <w:t>community</w:t>
            </w:r>
            <w:proofErr w:type="spellEnd"/>
            <w:r w:rsidRPr="00B7459C">
              <w:rPr>
                <w:sz w:val="16"/>
                <w:szCs w:val="16"/>
              </w:rPr>
              <w:t xml:space="preserve">, </w:t>
            </w:r>
            <w:proofErr w:type="spellStart"/>
            <w:r w:rsidRPr="00B7459C">
              <w:rPr>
                <w:sz w:val="16"/>
                <w:szCs w:val="16"/>
              </w:rPr>
              <w:t>space</w:t>
            </w:r>
            <w:proofErr w:type="spellEnd"/>
            <w:r w:rsidRPr="00B7459C">
              <w:rPr>
                <w:sz w:val="16"/>
                <w:szCs w:val="16"/>
              </w:rPr>
              <w:t xml:space="preserve"> and </w:t>
            </w:r>
            <w:proofErr w:type="spellStart"/>
            <w:r w:rsidRPr="00B7459C">
              <w:rPr>
                <w:sz w:val="16"/>
                <w:szCs w:val="16"/>
              </w:rPr>
              <w:t>propose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concrete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prevention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strategies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against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these</w:t>
            </w:r>
            <w:proofErr w:type="spellEnd"/>
            <w:r w:rsidRPr="00B7459C">
              <w:rPr>
                <w:sz w:val="16"/>
                <w:szCs w:val="16"/>
              </w:rPr>
              <w:t xml:space="preserve"> </w:t>
            </w:r>
            <w:proofErr w:type="spellStart"/>
            <w:r w:rsidRPr="00B7459C">
              <w:rPr>
                <w:sz w:val="16"/>
                <w:szCs w:val="16"/>
              </w:rPr>
              <w:t>phenomena</w:t>
            </w:r>
            <w:proofErr w:type="spellEnd"/>
            <w:r w:rsidRPr="00B7459C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4E5B96A7" w14:textId="77777777" w:rsidR="00497E8F" w:rsidRDefault="00497E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45178165" w14:textId="77777777" w:rsidTr="00FB7D01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4B833AD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A33F9A" w14:textId="77777777" w:rsidR="00B7459C" w:rsidRPr="001F1FF6" w:rsidRDefault="00B7459C" w:rsidP="00B7459C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2022</w:t>
            </w: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02</w:t>
            </w: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524672: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Registered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enterprises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Kamanová, Jana [Autor, 100%]. – [recenzované]</w:t>
            </w:r>
          </w:p>
          <w:p w14:paraId="16CBC2ED" w14:textId="77777777" w:rsidR="00B7459C" w:rsidRPr="001F1FF6" w:rsidRDefault="00B7459C" w:rsidP="00B7459C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Revue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Internationale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des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Sciences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humaines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et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naturelles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[textový dokument (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)] . – Zürich (Švajčiarsko) :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Internationale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Stiftung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Schulung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Kunst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Ausbildung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2235-2007. – č. 2 (2022), s. 57-72 [tlačená forma]</w:t>
            </w: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Nie</w:t>
            </w: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</w:r>
          </w:p>
          <w:p w14:paraId="2201B89E" w14:textId="77777777" w:rsidR="00B7459C" w:rsidRPr="001F1FF6" w:rsidRDefault="00B7459C" w:rsidP="00B7459C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</w:p>
          <w:p w14:paraId="371459EB" w14:textId="77777777" w:rsidR="00B7459C" w:rsidRPr="001F1FF6" w:rsidRDefault="00B7459C" w:rsidP="00B7459C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2022</w:t>
            </w: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>02</w:t>
            </w: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ab/>
              <w:t xml:space="preserve">513539: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Neuropsychology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pedagogical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clinical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practice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-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neurofeedback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Gažiová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, Mária [Autor, 100%]. – [recenzované]</w:t>
            </w:r>
          </w:p>
          <w:p w14:paraId="3EC58152" w14:textId="77777777" w:rsidR="004E35D2" w:rsidRDefault="00B7459C" w:rsidP="00B7459C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Review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theology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social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sciences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sacred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art [textový dokument (</w:t>
            </w:r>
            <w:proofErr w:type="spellStart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print</w:t>
            </w:r>
            <w:proofErr w:type="spellEnd"/>
            <w:r w:rsidRPr="001F1FF6"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)] . – ISSN 2811-5465. – č. 2 (2022), s. 35-48</w:t>
            </w:r>
          </w:p>
          <w:p w14:paraId="13E74DDE" w14:textId="77777777" w:rsidR="00A21CAE" w:rsidRDefault="00A21CAE" w:rsidP="00B7459C">
            <w:pPr>
              <w:autoSpaceDE w:val="0"/>
              <w:autoSpaceDN w:val="0"/>
              <w:adjustRightInd w:val="0"/>
              <w:spacing w:after="0"/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>
              <w:rPr>
                <w:rFonts w:eastAsia="SimSun" w:cstheme="minorHAnsi"/>
                <w:color w:val="212529"/>
                <w:sz w:val="14"/>
                <w:szCs w:val="14"/>
                <w:shd w:val="clear" w:color="auto" w:fill="FFFFFF"/>
                <w:lang w:eastAsia="sk-SK"/>
              </w:rPr>
              <w:t>2023 SCOPUS</w:t>
            </w:r>
          </w:p>
          <w:p w14:paraId="6C1D37A6" w14:textId="77777777" w:rsidR="00A21CAE" w:rsidRPr="00A21CAE" w:rsidRDefault="00A21CAE" w:rsidP="00A21CAE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(SCOPUS:10.15503/jecs2023.1.249.268) 1080188: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Influence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Family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School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Shaping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Values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Children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Young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People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in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Theory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Free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Time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Pedagogy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/ Králik, Roman [Autor, 100%]. – [recenzované]. – DOI 10.15503/jecs2023.1.249.268. – SCO</w:t>
            </w:r>
          </w:p>
          <w:p w14:paraId="22CA6204" w14:textId="37ECDEF4" w:rsidR="00A21CAE" w:rsidRDefault="00A21CAE" w:rsidP="00A21CAE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In: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Journal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of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education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culture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and society [elektronický dokument] . – Vroclav (Poľsko) :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Fundacja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Pro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Scientia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Publica</w:t>
            </w:r>
            <w:proofErr w:type="spellEnd"/>
            <w:r w:rsidRPr="00A21CAE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. – ISSN 2081-1640. – Roč. 14, č. 1 (2023), s. 249-268 [online]</w:t>
            </w:r>
          </w:p>
        </w:tc>
        <w:tc>
          <w:tcPr>
            <w:tcW w:w="160" w:type="dxa"/>
            <w:vAlign w:val="center"/>
          </w:tcPr>
          <w:p w14:paraId="491EFE88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7FAD25E1" w14:textId="77777777" w:rsidTr="00FB7D01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1CBDF4D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425E1E" w14:textId="6CEC16D5" w:rsidR="004E35D2" w:rsidRDefault="001F1FF6" w:rsidP="004E35D2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1F1FF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Výstup upozorňuje na 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nové výzvy, analyzuje </w:t>
            </w:r>
            <w:r w:rsidRPr="001F1FF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vývoj sociálno-patologických javov v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 </w:t>
            </w:r>
            <w:r w:rsidRPr="001F1FF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spoloč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nosti, rozlišujeme medzi látkovými a nelátkovými závislosťami, poukazuje na ich dopady, vyzdvihuje výsledky z prieskumu o výskyte týchto javov a rizikových faktorov, </w:t>
            </w:r>
            <w:r w:rsidRPr="001F1FF6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rozliš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uje</w:t>
            </w:r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neúčinné a účinné stratégie preventívnych akt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ivít</w:t>
            </w:r>
            <w:r w:rsidR="006C6B5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, čím prináša pozitívny dopad na prevenciu týchto patologických javov a hospodársky rozvoj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.</w:t>
            </w:r>
            <w:r w:rsidR="006C6B5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="006C6B50"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Výstup môže ovplyvniť medzinárodné vzťahy a spoluprácu medzi krajinami alebo medzinárodnými organizáciami prostredníctvom diskusie o globálnych otázkach alebo konkrétnych problémoch v rámci systému európskych sociálnych politík a dosahovaní cieľov Agendy 2030</w:t>
            </w:r>
            <w:r w:rsidR="006C6B50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v oblasti prevencie patológie</w:t>
            </w:r>
            <w:r w:rsidR="006C6B50"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  <w:p w14:paraId="3125495D" w14:textId="77777777" w:rsidR="00161E67" w:rsidRPr="00161E67" w:rsidRDefault="00161E67" w:rsidP="00161E67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Výstup prispieva k zvýšeniu informovanosť vedeckej obce, laickej i odbornej verejnosti, odbornej komunity a študentov o danej problematike, trendoch alebo nových poznatkoch v oblasti spoločenskej alebo hospodárskej praxe.</w:t>
            </w:r>
          </w:p>
          <w:p w14:paraId="0E219A3D" w14:textId="4C0D4CCB" w:rsidR="001F1FF6" w:rsidRPr="001F1FF6" w:rsidRDefault="001F1FF6" w:rsidP="004E35D2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draws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attention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new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challenges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analyzes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development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socio-pathological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phenomena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society,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distinguishes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between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substance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non-substance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addictions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points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out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their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impacts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highlights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results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a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survey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on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occurrence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these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phenomena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risk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factors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distinguishes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between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ineffective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effective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strategies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preventive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activities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  <w:r w:rsidR="00161E6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output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contributes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to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increasing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awareness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scientific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community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lay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public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professional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community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students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about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given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issue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trends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new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knowledge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or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economic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practice</w:t>
            </w:r>
            <w:proofErr w:type="spellEnd"/>
            <w:r w:rsidR="00161E67" w:rsidRPr="00161E67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3A26DB05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5D2" w14:paraId="113A9D34" w14:textId="77777777" w:rsidTr="00FB7D01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0932B7D" w14:textId="77777777" w:rsidR="004E35D2" w:rsidRDefault="004E35D2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F832E7" w14:textId="77777777" w:rsidR="004E35D2" w:rsidRDefault="00B7459C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Výstup rozvíja kompetencie budúcich sociálnych pracovníkov, ktorí dokážu vysvetliť, charakterizovať, identifikovať javy, </w:t>
            </w:r>
            <w:r w:rsid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analyzovať ich vzájomné súvislosti vzniku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uviesť príklady </w:t>
            </w:r>
            <w:r w:rsid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 rozdiely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medzi látkovými a nelátkovými závislos</w:t>
            </w:r>
            <w:r w:rsid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ťami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navrhnúť konkrétne stratégie ich prevencie, vytvoriť rozbor dopadov závislostného správania na rôzne úrovne osobnosti a</w:t>
            </w:r>
            <w:r w:rsid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spoločnosti</w:t>
            </w:r>
            <w:r w:rsid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hľadať spôsoby ich riešenia poznaním systému pomoci a metód sociálnej práce so závislými. </w:t>
            </w:r>
          </w:p>
          <w:p w14:paraId="3F378EC4" w14:textId="13DA0CB9" w:rsidR="006C6B50" w:rsidRDefault="006C6B50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Závery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výskumu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uvedené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ho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 učebnici 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maj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ú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význam pri súčasných snahách reformovať systém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sociálnej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politiky v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SR</w:t>
            </w:r>
            <w:r w:rsidRPr="008148E3">
              <w:rPr>
                <w:rFonts w:ascii="Calibri" w:hAnsi="Calibri" w:cs="Calibri"/>
                <w:color w:val="000000"/>
                <w:sz w:val="16"/>
                <w:szCs w:val="16"/>
              </w:rPr>
              <w:t>, zvlášť s prihliadaním na neustále zvyšujúci sa trend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závislosti u mládeže, je určená pre laickú, odbornú, vedeckú spoločnosť i študentov na zvýšenie kvality vzdelávania, informovanosti a prevencie. </w:t>
            </w:r>
          </w:p>
          <w:p w14:paraId="0862DBDA" w14:textId="77777777" w:rsidR="001F1FF6" w:rsidRDefault="001F1FF6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develops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competences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future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workers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who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explain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characterize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identify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phenomena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analyze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mutual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connections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give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examples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differences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between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substance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non-substance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addictions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propose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specific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create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analysis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addictive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behavior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different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levels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personality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society and to look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ways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solve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them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by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knowing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aid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addicts</w:t>
            </w:r>
            <w:proofErr w:type="spellEnd"/>
            <w:r w:rsidRPr="001F1F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04C58F41" w14:textId="16CE11CA" w:rsidR="006C6B50" w:rsidRDefault="006C6B50" w:rsidP="004E35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conclusions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presented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textbook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important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current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efforts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reform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system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policy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Slovak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Republic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especially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taking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into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account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constantly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increasing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trend of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addiction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among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intended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lay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professional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society and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students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increase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quality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awareness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6C6B5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2A156118" w14:textId="77777777" w:rsidR="004E35D2" w:rsidRDefault="004E35D2" w:rsidP="004E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0AD924F" w14:textId="77777777" w:rsidR="00497E8F" w:rsidRDefault="00497E8F"/>
    <w:sectPr w:rsidR="00497E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0D8E3" w14:textId="77777777" w:rsidR="00293156" w:rsidRDefault="00293156">
      <w:pPr>
        <w:spacing w:line="240" w:lineRule="auto"/>
      </w:pPr>
      <w:r>
        <w:separator/>
      </w:r>
    </w:p>
  </w:endnote>
  <w:endnote w:type="continuationSeparator" w:id="0">
    <w:p w14:paraId="0CA69878" w14:textId="77777777" w:rsidR="00293156" w:rsidRDefault="002931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5A18" w14:textId="77777777" w:rsidR="00293156" w:rsidRDefault="00293156">
      <w:pPr>
        <w:spacing w:after="0"/>
      </w:pPr>
      <w:r>
        <w:separator/>
      </w:r>
    </w:p>
  </w:footnote>
  <w:footnote w:type="continuationSeparator" w:id="0">
    <w:p w14:paraId="2EB96018" w14:textId="77777777" w:rsidR="00293156" w:rsidRDefault="002931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4B27BB"/>
    <w:multiLevelType w:val="singleLevel"/>
    <w:tmpl w:val="D04B27BB"/>
    <w:lvl w:ilvl="0">
      <w:start w:val="1"/>
      <w:numFmt w:val="decimal"/>
      <w:suff w:val="space"/>
      <w:lvlText w:val="%1."/>
      <w:lvlJc w:val="left"/>
    </w:lvl>
  </w:abstractNum>
  <w:num w:numId="1" w16cid:durableId="1017343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64A3F"/>
    <w:rsid w:val="00065E81"/>
    <w:rsid w:val="00071544"/>
    <w:rsid w:val="000828D0"/>
    <w:rsid w:val="00096A2A"/>
    <w:rsid w:val="000D7CD3"/>
    <w:rsid w:val="000F2BAC"/>
    <w:rsid w:val="00161E67"/>
    <w:rsid w:val="001626E5"/>
    <w:rsid w:val="00190A9C"/>
    <w:rsid w:val="001E32A6"/>
    <w:rsid w:val="001F1FF6"/>
    <w:rsid w:val="0020559A"/>
    <w:rsid w:val="00211BB7"/>
    <w:rsid w:val="00270EC5"/>
    <w:rsid w:val="00293156"/>
    <w:rsid w:val="003971C7"/>
    <w:rsid w:val="004031A0"/>
    <w:rsid w:val="00425285"/>
    <w:rsid w:val="004509DF"/>
    <w:rsid w:val="00482CB2"/>
    <w:rsid w:val="00497E8F"/>
    <w:rsid w:val="004A13DC"/>
    <w:rsid w:val="004C0ADE"/>
    <w:rsid w:val="004E35D2"/>
    <w:rsid w:val="00544CA5"/>
    <w:rsid w:val="0055260F"/>
    <w:rsid w:val="00566017"/>
    <w:rsid w:val="006C6B50"/>
    <w:rsid w:val="006D1BB6"/>
    <w:rsid w:val="0073261A"/>
    <w:rsid w:val="007766D2"/>
    <w:rsid w:val="007E1DDE"/>
    <w:rsid w:val="00821A06"/>
    <w:rsid w:val="008311D2"/>
    <w:rsid w:val="0083744F"/>
    <w:rsid w:val="009010F0"/>
    <w:rsid w:val="0092324B"/>
    <w:rsid w:val="00987C34"/>
    <w:rsid w:val="009922EF"/>
    <w:rsid w:val="009A7EFB"/>
    <w:rsid w:val="009D7031"/>
    <w:rsid w:val="00A21CAE"/>
    <w:rsid w:val="00A63D8C"/>
    <w:rsid w:val="00AD0A89"/>
    <w:rsid w:val="00B07579"/>
    <w:rsid w:val="00B11E9B"/>
    <w:rsid w:val="00B122C6"/>
    <w:rsid w:val="00B1521A"/>
    <w:rsid w:val="00B7459C"/>
    <w:rsid w:val="00BB6175"/>
    <w:rsid w:val="00BC342D"/>
    <w:rsid w:val="00C61D10"/>
    <w:rsid w:val="00C7760E"/>
    <w:rsid w:val="00CA400E"/>
    <w:rsid w:val="00D70112"/>
    <w:rsid w:val="00D7387E"/>
    <w:rsid w:val="00EA1D8B"/>
    <w:rsid w:val="00EC3B68"/>
    <w:rsid w:val="00F241C7"/>
    <w:rsid w:val="00FA1AAB"/>
    <w:rsid w:val="00FB7D01"/>
    <w:rsid w:val="00FE109E"/>
    <w:rsid w:val="00FF766C"/>
    <w:rsid w:val="06EE312D"/>
    <w:rsid w:val="07C7439D"/>
    <w:rsid w:val="0D805AE9"/>
    <w:rsid w:val="10044637"/>
    <w:rsid w:val="13352FDA"/>
    <w:rsid w:val="18466026"/>
    <w:rsid w:val="1D6B1686"/>
    <w:rsid w:val="1DE656A7"/>
    <w:rsid w:val="28972800"/>
    <w:rsid w:val="2A4A4817"/>
    <w:rsid w:val="4320370D"/>
    <w:rsid w:val="50CE5D18"/>
    <w:rsid w:val="576A44A4"/>
    <w:rsid w:val="66565531"/>
    <w:rsid w:val="763673D9"/>
    <w:rsid w:val="7D5D390B"/>
    <w:rsid w:val="7DC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51A08"/>
  <w15:docId w15:val="{D2D38CFF-C9F1-4C75-B550-130889576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uiPriority w:val="99"/>
    <w:semiHidden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table" w:styleId="Mriekatabuky">
    <w:name w:val="Table Grid"/>
    <w:basedOn w:val="Normlnatabuk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character" w:styleId="Nevyrieenzmienka">
    <w:name w:val="Unresolved Mention"/>
    <w:basedOn w:val="Predvolenpsmoodseku"/>
    <w:uiPriority w:val="99"/>
    <w:semiHidden/>
    <w:unhideWhenUsed/>
    <w:rsid w:val="00AD0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6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17773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1745</Words>
  <Characters>9950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</dc:creator>
  <cp:lastModifiedBy>Peter Kottlik</cp:lastModifiedBy>
  <cp:revision>6</cp:revision>
  <dcterms:created xsi:type="dcterms:W3CDTF">2022-12-01T09:19:00Z</dcterms:created>
  <dcterms:modified xsi:type="dcterms:W3CDTF">2024-02-06T21:15:00Z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F6A6AA5A2F404A659A284D46E94DFD39</vt:lpwstr>
  </property>
</Properties>
</file>